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0E" w:rsidRPr="000E620E" w:rsidRDefault="000E620E" w:rsidP="000E620E">
      <w:pPr>
        <w:spacing w:before="300" w:after="150" w:line="660" w:lineRule="atLeast"/>
        <w:outlineLvl w:val="0"/>
        <w:rPr>
          <w:rFonts w:ascii="Arial" w:eastAsia="Times New Roman" w:hAnsi="Arial" w:cs="Arial"/>
          <w:b/>
          <w:bCs/>
          <w:spacing w:val="-15"/>
          <w:kern w:val="36"/>
          <w:sz w:val="60"/>
          <w:szCs w:val="60"/>
          <w:lang w:eastAsia="ru-RU"/>
        </w:rPr>
      </w:pPr>
      <w:r w:rsidRPr="000E620E">
        <w:rPr>
          <w:rFonts w:ascii="Arial" w:eastAsia="Times New Roman" w:hAnsi="Arial" w:cs="Arial"/>
          <w:b/>
          <w:bCs/>
          <w:spacing w:val="-15"/>
          <w:kern w:val="36"/>
          <w:sz w:val="60"/>
          <w:szCs w:val="60"/>
          <w:lang w:eastAsia="ru-RU"/>
        </w:rPr>
        <w:t>Приказ</w:t>
      </w:r>
    </w:p>
    <w:p w:rsidR="000E620E" w:rsidRPr="000E620E" w:rsidRDefault="000E620E" w:rsidP="000E620E">
      <w:pPr>
        <w:spacing w:after="270" w:line="360" w:lineRule="atLeast"/>
        <w:outlineLvl w:val="1"/>
        <w:rPr>
          <w:rFonts w:ascii="Arial" w:eastAsia="Times New Roman" w:hAnsi="Arial" w:cs="Arial"/>
          <w:sz w:val="27"/>
          <w:szCs w:val="27"/>
          <w:lang w:eastAsia="ru-RU"/>
        </w:rPr>
      </w:pPr>
      <w:r w:rsidRPr="000E620E">
        <w:rPr>
          <w:rFonts w:ascii="Arial" w:eastAsia="Times New Roman" w:hAnsi="Arial" w:cs="Arial"/>
          <w:sz w:val="36"/>
          <w:szCs w:val="36"/>
          <w:lang w:eastAsia="ru-RU"/>
        </w:rPr>
        <w:t>Приказ</w:t>
      </w:r>
      <w:r w:rsidRPr="000E620E">
        <w:rPr>
          <w:rFonts w:ascii="Arial" w:eastAsia="Times New Roman" w:hAnsi="Arial" w:cs="Arial"/>
          <w:sz w:val="27"/>
          <w:szCs w:val="27"/>
          <w:lang w:eastAsia="ru-RU"/>
        </w:rPr>
        <w:t xml:space="preserve"> Министра национальной экономики РК от 28.02.2015 №</w:t>
      </w:r>
      <w:r w:rsidRPr="000E620E">
        <w:rPr>
          <w:rFonts w:ascii="Arial" w:eastAsia="Times New Roman" w:hAnsi="Arial" w:cs="Arial"/>
          <w:sz w:val="36"/>
          <w:szCs w:val="36"/>
          <w:lang w:eastAsia="ru-RU"/>
        </w:rPr>
        <w:t xml:space="preserve"> 176</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br/>
      </w:r>
      <w:r w:rsidRPr="000E620E">
        <w:rPr>
          <w:rFonts w:ascii="Arial" w:eastAsia="Times New Roman" w:hAnsi="Arial" w:cs="Arial"/>
          <w:b/>
          <w:bCs/>
          <w:sz w:val="27"/>
          <w:szCs w:val="27"/>
          <w:lang w:eastAsia="ru-RU"/>
        </w:rPr>
        <w:br/>
        <w:t>Приказ Министра национальной экономики Республики Казахстан от 28 февраля 2015 года № 176</w:t>
      </w:r>
      <w:r w:rsidRPr="000E620E">
        <w:rPr>
          <w:rFonts w:ascii="Arial" w:eastAsia="Times New Roman" w:hAnsi="Arial" w:cs="Arial"/>
          <w:b/>
          <w:bCs/>
          <w:sz w:val="27"/>
          <w:szCs w:val="27"/>
          <w:lang w:eastAsia="ru-RU"/>
        </w:rPr>
        <w:b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Утвердить прилагаемые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государственную регистрацию настоящего приказа в Министерстве юстиции Республики Казахстан;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 размещение настоящего приказа на официальном интернет-ресурсе Министерства национальной экономики Республики Казахстан.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 Контроль за исполнением настоящего приказа возложить на курирующего вице-министра национальной экономики Республики Казахстан.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 Настоящий приказ вводится в действие по истечении десяти календарных дней со дня его первого официального опубликования.</w:t>
      </w:r>
    </w:p>
    <w:p w:rsidR="000E620E" w:rsidRPr="000E620E" w:rsidRDefault="000E620E" w:rsidP="000E620E">
      <w:pPr>
        <w:spacing w:after="0"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br/>
      </w:r>
      <w:r w:rsidRPr="000E620E">
        <w:rPr>
          <w:rFonts w:ascii="Times New Roman" w:eastAsia="Times New Roman" w:hAnsi="Times New Roman" w:cs="Times New Roman"/>
          <w:b/>
          <w:bCs/>
          <w:sz w:val="24"/>
          <w:szCs w:val="24"/>
          <w:lang w:eastAsia="ru-RU"/>
        </w:rPr>
        <w:t>Министр</w:t>
      </w:r>
      <w:r w:rsidRPr="000E620E">
        <w:rPr>
          <w:rFonts w:ascii="Times New Roman" w:eastAsia="Times New Roman" w:hAnsi="Times New Roman" w:cs="Times New Roman"/>
          <w:sz w:val="24"/>
          <w:szCs w:val="24"/>
          <w:lang w:eastAsia="ru-RU"/>
        </w:rPr>
        <w:br/>
      </w:r>
      <w:r w:rsidRPr="000E620E">
        <w:rPr>
          <w:rFonts w:ascii="Times New Roman" w:eastAsia="Times New Roman" w:hAnsi="Times New Roman" w:cs="Times New Roman"/>
          <w:b/>
          <w:bCs/>
          <w:sz w:val="24"/>
          <w:szCs w:val="24"/>
          <w:lang w:eastAsia="ru-RU"/>
        </w:rPr>
        <w:t>национальной экономики</w:t>
      </w:r>
      <w:r w:rsidRPr="000E620E">
        <w:rPr>
          <w:rFonts w:ascii="Times New Roman" w:eastAsia="Times New Roman" w:hAnsi="Times New Roman" w:cs="Times New Roman"/>
          <w:sz w:val="24"/>
          <w:szCs w:val="24"/>
          <w:lang w:eastAsia="ru-RU"/>
        </w:rPr>
        <w:br/>
      </w:r>
      <w:r w:rsidRPr="000E620E">
        <w:rPr>
          <w:rFonts w:ascii="Times New Roman" w:eastAsia="Times New Roman" w:hAnsi="Times New Roman" w:cs="Times New Roman"/>
          <w:b/>
          <w:bCs/>
          <w:sz w:val="24"/>
          <w:szCs w:val="24"/>
          <w:lang w:eastAsia="ru-RU"/>
        </w:rPr>
        <w:t>Республики Казахстан</w:t>
      </w:r>
      <w:r w:rsidRPr="000E620E">
        <w:rPr>
          <w:rFonts w:ascii="Times New Roman" w:eastAsia="Times New Roman" w:hAnsi="Times New Roman" w:cs="Times New Roman"/>
          <w:sz w:val="24"/>
          <w:szCs w:val="24"/>
          <w:lang w:eastAsia="ru-RU"/>
        </w:rPr>
        <w:br/>
      </w:r>
      <w:r w:rsidRPr="000E620E">
        <w:rPr>
          <w:rFonts w:ascii="Times New Roman" w:eastAsia="Times New Roman" w:hAnsi="Times New Roman" w:cs="Times New Roman"/>
          <w:b/>
          <w:bCs/>
          <w:sz w:val="24"/>
          <w:szCs w:val="24"/>
          <w:lang w:eastAsia="ru-RU"/>
        </w:rPr>
        <w:t>Е. Досаев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"СОГЛАСОВАН"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Министр энергетики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Республики Казахстан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____________ В. Школьник</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31 марта 2015 года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"СОГЛАСОВАН"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Министр здравоохранения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и социального развития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Республики Казахстан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____________ Т. Дуйсенова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30 марта 2015 года</w:t>
      </w:r>
    </w:p>
    <w:p w:rsidR="000E620E" w:rsidRPr="000E620E" w:rsidRDefault="000E620E" w:rsidP="000E620E">
      <w:pPr>
        <w:spacing w:after="195" w:line="240" w:lineRule="auto"/>
        <w:jc w:val="right"/>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br/>
        <w:t xml:space="preserve">Утверждены </w:t>
      </w:r>
      <w:r w:rsidRPr="000E620E">
        <w:rPr>
          <w:rFonts w:ascii="Times New Roman" w:eastAsia="Times New Roman" w:hAnsi="Times New Roman" w:cs="Times New Roman"/>
          <w:sz w:val="24"/>
          <w:szCs w:val="24"/>
          <w:lang w:eastAsia="ru-RU"/>
        </w:rPr>
        <w:br/>
        <w:t>приказом Министра национальной</w:t>
      </w:r>
      <w:r w:rsidRPr="000E620E">
        <w:rPr>
          <w:rFonts w:ascii="Times New Roman" w:eastAsia="Times New Roman" w:hAnsi="Times New Roman" w:cs="Times New Roman"/>
          <w:sz w:val="24"/>
          <w:szCs w:val="24"/>
          <w:lang w:eastAsia="ru-RU"/>
        </w:rPr>
        <w:br/>
        <w:t>экономики Республики Казахстан</w:t>
      </w:r>
      <w:r w:rsidRPr="000E620E">
        <w:rPr>
          <w:rFonts w:ascii="Times New Roman" w:eastAsia="Times New Roman" w:hAnsi="Times New Roman" w:cs="Times New Roman"/>
          <w:sz w:val="24"/>
          <w:szCs w:val="24"/>
          <w:lang w:eastAsia="ru-RU"/>
        </w:rPr>
        <w:br/>
        <w:t xml:space="preserve">от 28 февраля 2015 года № 176 </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Санитарные правила</w:t>
      </w:r>
      <w:r w:rsidRPr="000E620E">
        <w:rPr>
          <w:rFonts w:ascii="Arial" w:eastAsia="Times New Roman" w:hAnsi="Arial" w:cs="Arial"/>
          <w:b/>
          <w:bCs/>
          <w:sz w:val="27"/>
          <w:szCs w:val="27"/>
          <w:lang w:eastAsia="ru-RU"/>
        </w:rPr>
        <w:br/>
        <w:t>"Санитарно-эпидемиологические требования к сбору, использованию, применению, обезвреживанию,</w:t>
      </w:r>
      <w:r w:rsidRPr="000E620E">
        <w:rPr>
          <w:rFonts w:ascii="Arial" w:eastAsia="Times New Roman" w:hAnsi="Arial" w:cs="Arial"/>
          <w:b/>
          <w:bCs/>
          <w:sz w:val="27"/>
          <w:szCs w:val="27"/>
          <w:lang w:eastAsia="ru-RU"/>
        </w:rPr>
        <w:br/>
        <w:t>транспортировке, хранению и захоронению</w:t>
      </w:r>
      <w:r w:rsidRPr="000E620E">
        <w:rPr>
          <w:rFonts w:ascii="Arial" w:eastAsia="Times New Roman" w:hAnsi="Arial" w:cs="Arial"/>
          <w:b/>
          <w:bCs/>
          <w:sz w:val="27"/>
          <w:szCs w:val="27"/>
          <w:lang w:eastAsia="ru-RU"/>
        </w:rPr>
        <w:br/>
        <w:t>отходов производства и потребления"</w:t>
      </w:r>
    </w:p>
    <w:p w:rsidR="000E620E" w:rsidRPr="000E620E" w:rsidRDefault="000E620E" w:rsidP="000E620E">
      <w:pPr>
        <w:spacing w:before="360" w:after="75"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1. Основные положения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Настоящие Санитарные правила определяют санитарно-эпидемиологические требования к сбору, использованию, применению, накоплению, обращению, обезвреживанию, транспортировке, хранению и захоронению отходов производства и потребления на производственных объектах, твердых бытовых и медицинских отходов (далее – Санитарные правила), разработаны в соответствии с пунктом 6 статьи 144 Кодекса Республики Казахстан от 18 сентября 2009 года "О здоровье народа и системе здравоохранения" (далее – Кодекс).</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В настоящих Санитарных правилах использованы следующие определения: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сливные станции – сооружения, предназначенные для приема и спуска в канализационную сеть жидких отходов из не канализованных районов населенного пункта;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сточные воды – воды, использованные на производственные или бытовые нужды и получившие при этом дополнительные примеси (загрязнения), изменившие их первоначальный состав или физические свойства. Воды, стекающие с территории населенных мест и промышленных предприятий в момент выпадения атмосферных осадков, поливки улиц или после этого, воды, образуемые при добыче полезных ископаемых, также считаются сточными;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 поля ассенизации, поля запахивания – специально выделенная территория за пределами населенного пункта для сбора и обезвреживания жидких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 планово-регулярная очистка – система мероприятий по сбору и удалению отходов с установленной кратностью;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5)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w:t>
      </w:r>
      <w:r w:rsidRPr="000E620E">
        <w:rPr>
          <w:rFonts w:ascii="Times New Roman" w:eastAsia="Times New Roman" w:hAnsi="Times New Roman" w:cs="Times New Roman"/>
          <w:sz w:val="24"/>
          <w:szCs w:val="24"/>
          <w:lang w:eastAsia="ru-RU"/>
        </w:rPr>
        <w:lastRenderedPageBreak/>
        <w:t>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 классификатор отходов – информационно-справочный документ прикладного характера, в котором содержатся результаты классификации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 учет отходов – система сбора и предоставления информации о количественных и качественных характеристиках отходов и способах обращения с ними;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 удаление отходов – операции по захоронению и уничтожению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 сбор отходов – деятельность, связанная с изъятием, накоплением и размещением отходов в специально отведенных местах или на объектах, включающая сортировку отходов с целью дальнейшей их утилизации или удаления;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 обезвреживание отходов – уменьшение или устранение опасных свойств отходов путем механической, физико-химической или биологической обработки;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 утилизация отходов – использование отходов в качестве вторичных материальных или энергетических ресурсов;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14) захоронение отходов – складирование отходов в местах, специально установленных для их безопасного хранения в течение неограниченного срока;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15)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16) размещение отходов – хранение или захоронение отходов производства и потребления;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17) хранение отходов – складирование отходов в специально установленных местах для последующей утилизации, переработки и (или) удаления;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18) транспортировка отходов – перевозка отходов от мест их образования или хранения к местам или объектам переработки, утилизации или захоронения;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19) класс опасности отходов – это числовая характеристика отходов, определяющая вид и степень его опасности (токсичности);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20) классификация отходов – порядок отнесения отходов к уровням в соответствии с их опасностью для окружающей среды и здоровья человека;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21)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22)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23) консервация хвостового хозяйства – временное прекращение деятельности по транспортировке хвостов и размещению их на хвостохранилище. При этом сооружения хвостового хозяйства и хвостохранилище изолируют таким образом, чтобы исключить негативное влияние на окружающую среду;</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24) ликвидация (захоронение) хвостового хозяйства – прекращение деятельности по транспортировке хвостов и размещению их на хвостохранилище. При этом необходимо ликвидировать все здания и сооружения хвостового хозяйства, а хвостохранилище изолировано таким образом, чтобы исключить влияние на окружающую среду;</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25) объекты обращения с отходами – места или объекты, используемые для сбора, хранения, обработки, утилизации, удаления, обезвреживания и захоронения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26) твердые бытовые отходы – коммунальные отходы в твердой форме;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27) полигоны для твердых бытовых отходов – специальные сооружения, предназначенные для изоляции и обезвреживания твердых бытовых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28) неопасные отходы – отходы, не обладающие опасными свойствами;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29) опасные отходы – отходы, которые содержат вредные вещества, обладающие одним или несколькими опасными свойствами (токсичностью, взрывоопасностью, радиоактивностью, пожароопасностью, высокой реакционной способностью)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30) опасные химические вещества – вещества, обладающие свойствами, которые могут оказать непосредственное или потенциальное вредное воздействие на здоровье человека и окружающую среду;</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31)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32) специализированные предприятия – организации, осуществляющие сбор, использование, применение, обезвреживание, транспортировку, хранение, захоронение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33) медицинские отходы – отходы, образующиеся в процессе оказания медицинских услуг и проведения медицинских манипуляций;</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34) захоронение медицинских отходов – безопасное размещение обезвреженных медицинских отходов в грунт без намерения последующего их извлечения, направленное на предотвращение попадания вредных веществ в окружающую среду и исключающее возможность использования этих медицинских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35) скотомогильник – сооружение для обезвреживания и захоронения трупов павших животных, либо после вынужденного убоя;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36) отходы производства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37) производственный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38) радиоактивные отходы – отходы, содержащие радиоактивные вещества в количестве и концентрации, которые превышают регламентированные для радиоактивных веществ значения, установленные законодательством Республики Казахстан в области использования атомной энергии;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39)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40)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41) жидкие отходы – любые отходы в жидкой форме, за исключением сточных вод;</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42)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2. Санитарно-эпидемиологические требования к сбору</w:t>
      </w:r>
      <w:r w:rsidRPr="000E620E">
        <w:rPr>
          <w:rFonts w:ascii="Arial" w:eastAsia="Times New Roman" w:hAnsi="Arial" w:cs="Arial"/>
          <w:b/>
          <w:bCs/>
          <w:sz w:val="27"/>
          <w:szCs w:val="27"/>
          <w:lang w:eastAsia="ru-RU"/>
        </w:rPr>
        <w:br/>
        <w:t>использованию, применению, обезвреживанию, транспортировке,</w:t>
      </w:r>
      <w:r w:rsidRPr="000E620E">
        <w:rPr>
          <w:rFonts w:ascii="Arial" w:eastAsia="Times New Roman" w:hAnsi="Arial" w:cs="Arial"/>
          <w:b/>
          <w:bCs/>
          <w:sz w:val="27"/>
          <w:szCs w:val="27"/>
          <w:lang w:eastAsia="ru-RU"/>
        </w:rPr>
        <w:br/>
        <w:t>хранению и захоронению отходов на производственных объектах</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3. На производственных объектах сбор и временное хранение (размещение) отходов производства проводится на специальных площадках (местах), соответствующих уровню опасности отходов (по степени токсичности). Отходы по мере их накопления собирают в тару, предназначенную для каждой группы отходов в соответствии с классом опасности (по степени токсичности).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Физические и юридические лица при эксплуатации предприятий, зданий, строений, сооружений и иных объектов, связанных с обращением с отходами, в случае возникновения или угрозы аварий, связанных с обращением с отходами, которые наносят или могут нанести ущерб окружающей среде, здоровью, имуществу физических и/или юридических лиц, обязаны немедленно информировать территориальные подразделения ведомства государственного органа в сфере санитарно-эпидемиологического благополучия населения.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 Размеры СЗЗ от места хранения отходов (площадка) до территории жилой застройки, объектов производственного и коммунального назначения определяются в соответствии с Санитарными правилами, утверждаемыми в соответствии с пунктом 6 статьи 144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5. По степени воздействия на человека и окружающую среду (по степени токсичности) отходы распределяются на пять классов опасности: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1 класс – чрезвычайно опасные,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 xml:space="preserve">2 класс – высоко опасные,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 класс – умеренно опасные,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4 класс – мало опасные,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 класс – неопасные.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электрогазосваркой и обеспечивают маркировку упаковок с опасными отходами с указанием опасных свойств.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 Отходы производства 2 класса опасности хранят, согласно агрегатному состоянию, в полиэтиленовых мешках, пакетах, бочках и других видах тары, препятствующей распространению вредных веществ (ингредиентов).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 Отходы производства 3 класса опасности хранят в таре, обеспечивающей локализованное хранение, позволяющей выполнять погрузочно-разгрузочные и транспортные работы и исключать распространение вредных веществ.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 Отходы производства 4 класса опасности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 Отходы в жидком и газообразном состоянии, хранят в герметичной таре и удаляют с территории предприятия в течение суток или проводят их обезвреживание на производственном объекте.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 Твердые отходы, в том числе сыпучие, хранят в контейнерах, пластиковых, бумажных пакетах или мешках, по мере их накопления удаляют.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 Площадку для временного хранения отходов располагают на территории предприятия с подветренной стороны. Площадку покрывают твердым и непроницаемым 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 В местах хранения отходов производства предусматривают стационарные или передвижные погрузочно-разгрузочные механизмы.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14. Допустимое количество отходов на территории промышленной площадки определяет предприятие на основе классификации отходов по уровню токсичности.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15. Контроль за состоянием окружающей среды на полигонах отходов осуществляется производственной лабораторией производственного объекта либо с привлечением аккредитованной лаборатории.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16. Условия накопления и хранения отходов на площадках производственных объектов определяется проектом нормативов размещения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Допускается накопление и временное хранение отходов сроком не более трех месяцев, которое не является объектом специального природопользования, как исключение, в следующих случаях:</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при использовании отходов в последующем технологическом цикле с целью их полной утилизации;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при отправке отходов на утилизацию;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 при временном отсутствии транспортных средств для вывоза отходов на утилизацию или свалку.</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17. Накопление, хранение и захоронение отходов допускается при наличии специально построенных шламо-, шлако-, хвосто-, золонакопителей и отвалов.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18. Транспортировка отходов производства 1 и 2 класса опасности осуществляется специально оборудованными транспортными средствами при наличии санитарно-эпидемиологического заключения территориального подразделения ведомства государственного органа в сфере санитарно-эпидемиологического благополучия населения, в соответствии с пунктом 8 статьи 62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19. Количество перевозимых отходов соответствует грузовому объему транспорта. При транспортировке отходов производства не допускается загрязнение окружающей среды в местах их закачки, перевозки, погрузки и разгрузки.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20. Все процессы, связанные с погрузкой, транспортировкой и разгрузкой отходов с 1 по 3 класс опасности, механизируют. Транспорт для перевозки полужидких (пастообразных) отходов оснащают шланговым устройством для слива.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21. При перевозке твердых и пылевидных отходов транспорт обеспечивается защитной пленкой или укрывным материалом.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22. Пылевидные отходы увлажняют на всех этапах: при загрузке, транспортировке, выгрузке.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23. При транспортировке отходов производства 1 и 2 класса опасности не допускается присутствие посторонних лиц, кроме лица, управляющего транспортным средством и персонала предприятия, который сопровождает груз.</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24. На предприятиях, использующих отходы в качестве сырья, обеспечиваются автоматизация и механизация технологических процессов.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25. Перед утилизацией опасные отходы подвергаются обезвреживанию в зависимости от уровня токсичности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26.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соответствующих предприятиях и складирование части отходов производства на полигоне ТБО. Обезвреживание токсичных отходов производства (1 и 2 класса опасности) осуществляют на полигонах захоронения токсичных отходов производства.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27. Захоронение твердых и пылевидных отходов 2 и 3 класса опасности, токсичные ингредиенты которых не растворяются в воде, осуществляют на полигонах отходов производства. Отсыпку отходов в котлованах проводят с послойным уплотнением. Наивысший уровень отходов в котлованах предусматривают ниже планировочной отметки, прилегающей к территории котлованов не менее чем на 2 метра (далее – 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При оборудовании котлованов ширину территории, прилегающей к котлованам, предусматривают не менее 8 м. Захоронение разрешается при грунте с коэффициентом фильтрации не более 6 – 10 метров в сутки (далее – м/сут).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28. Захоронение пылевидных отходов проводят в котлованах с учетом мероприятий, гарантирующих исключение разноса этих отходов ветром. Суточная рабочая площадь захоронения предусматривается минимальной. После каждой загрузки в котлован пылевидных отходов их изолируют слоем грунта толщиной не менее 20 сантиметров (далее – см).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29.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уплотненным слоем глины толщиной 1 м и защитным экраном из полиэтиленовой пленки.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30. Засыпанный участок котлована покрывают уплотняющим слоем грунта, по которому осуществляют подвоз отходов для заполнения остальной части котлована. Подвоз отходов по уплотненному слою почвы не допускает его разрушение.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31. При захоронении отходов первого класса опасности, имеющих слаборастворимые токсичные вещества, принимают меры по предотвращению их миграции в грунтовые и подземные воды: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обкладка стен и дна котлована глиной слоем не менее одного метра с коэффициентом фильтрации не более 10 м/сут;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укладка на дне и закрепление стен котлована бетонными плитами с заливкой мест стыка битумом, гудроном или другими водонепроницаемыми материалами.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32. Захоронение водорастворимых отходов первого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размещают в бетонном коробе.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33. Заполненные отходами котлованы изолируют уплотненным слоем грунта толщиной 2 м, после чего покрывают водонепроницаемым покрытием из гудрона, быстротвердеющих смол, цементогудрона.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34. Уплотнительные слои, и водонепроницаемые покрытия выступают над территорией, прилегающей к котлованам. Водонепроницаемые покрытия выходят за габариты котлована на 2 – 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талых вод с поверхности котлованов на специальную выпарительную площадку.</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35. Организация работ по оборудованию изолирующего покрытия, водоотводных каналов котлованов, способа их заполнения решают в каждом конкретном случае с учетом рельефа участка и гидрогеологических условий.</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36. При уничтожении отходов производства, подлежащих сжиганию, используют печи с режимом работы при температуре 1000 – 1200 градусов Цельсия (далее – оС). Не допускается принимать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37. Жидкие отходы 1 – 3 класса опасности, перед вывозом на полигон переводят в пастообразную консистенцию. Захоронение отходов в жидком состоянии не допускается.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38. Хвостохранилища располагают, как на территории самого рудоперерабатывающего предприятия (в пределах единой промплощадки), так и на удалении от него на самостоятельной (отчужденной) территории с учетом СЗЗ.</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39. Район размещения хвостохранилища предусматривает возможность организации вокруг него СЗЗ необходимых размеров. Его местоположение увязывают с перспективным планом развития района и предприятия.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40. Не допускается размещение хвостохранилищ в местах простирания поверхностных водоносных горизонтов, являющихся источниками водоснабжения, в непосредственной близости (менее 1000 м) от крупных рек и озер, имеющих народнохозяйственное значение, а также городов с населением более 50 тыс. человек с перспективой дальнейшего развития (в соответствии с размером СЗЗ).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41. На территории предприятия, хвостохранилища размещают на расстоянии, равной половине размера его СЗЗ от производственных, административных и бытовых зданий предприятия, но не ближе 500 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42. Хвостохранилища размещают: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1) ниже мест водозабора питьевой воды и рыболовных хозяйств;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хвостохранилища)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43. Перед началом захоронения хвостохранилища проводятся мероприятия по его осушению до кондиции, позволяющей использовать технику необходимую для земляных работ.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44. Территорию отработанного хвостохранилища не допускается использовать для любых народнохозяйственных целей. На территории СЗЗ не допускается строительство жилья, детских учреждений, объектов социально-культурного и бытового обслуживания, а также устройство мест для отдыха и занятия спортом.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45. Если захороненное хвостохранилище находится на расстоянии до 2 км от населенных пунктов, промышленных предприятий или земельных угодий, то предусматривается ограда из сборного железобетона высотой не менее 2 м. Ограда располагается не ближе 30 м от хвостохранилища, при условии, что за пределами ограды мощность дозы гамма-излучения от поверхности почвы и от тела дамбы не превышает 0,3 микро Зиверта в час над естественным фоном. Если хвостохранилище находится на расстоянии более 2 км от населенных пунктов, ограждение сооружается из двух рядов колючей проволоки на железобетонных столбах. Хвостохранилище, расположенное на расстоянии свыше 5 км от населенных пунктов и транспортных путей, в местности, не пригодной для народнохозяйственного использования (горные районы, пустыня и тому подобное) по согласованию с территориальными подразделениями ведомства государственного органа в сфере санитарно-эпидемиологического благополучия населения не ограждаться. Вокруг хвостохранилища выставляются соответствующие предупреждающие и запрещающие надписи.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46. На захороненное хвостохранилище составляется паспорт в котором указывается: время окончания захоронения, краткое описание мероприятий по захоронению, организация, выполнявшая проект, предприятие, осуществившее захоронение, организация, принявшая </w:t>
      </w:r>
      <w:r w:rsidRPr="000E620E">
        <w:rPr>
          <w:rFonts w:ascii="Times New Roman" w:eastAsia="Times New Roman" w:hAnsi="Times New Roman" w:cs="Times New Roman"/>
          <w:sz w:val="24"/>
          <w:szCs w:val="24"/>
          <w:lang w:eastAsia="ru-RU"/>
        </w:rPr>
        <w:lastRenderedPageBreak/>
        <w:t>захороненный объект под наблюдение, данные санитарно-дозиметрического контроля по окончании работ и те ограничения, которые наложены на захороненный объект и прилегающую территорию.</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3. Санитарно-эпидемиологические требования к сбору,</w:t>
      </w:r>
      <w:r w:rsidRPr="000E620E">
        <w:rPr>
          <w:rFonts w:ascii="Arial" w:eastAsia="Times New Roman" w:hAnsi="Arial" w:cs="Arial"/>
          <w:b/>
          <w:bCs/>
          <w:sz w:val="27"/>
          <w:szCs w:val="27"/>
          <w:lang w:eastAsia="ru-RU"/>
        </w:rPr>
        <w:br/>
        <w:t>использованию, применению, обезвреживанию, транспортировке,</w:t>
      </w:r>
      <w:r w:rsidRPr="000E620E">
        <w:rPr>
          <w:rFonts w:ascii="Arial" w:eastAsia="Times New Roman" w:hAnsi="Arial" w:cs="Arial"/>
          <w:b/>
          <w:bCs/>
          <w:sz w:val="27"/>
          <w:szCs w:val="27"/>
          <w:lang w:eastAsia="ru-RU"/>
        </w:rPr>
        <w:br/>
        <w:t>хранению и захоронению твердых бытовых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47. На территории населенных мест сбор, использование, применение, обезвреживание, транспортировка, хранение и захоронение отходов осуществляют специализированные предприятия. В малых населенных пунктах при отсутствии специализированных организаций по сбору, вывозу и содержанию мест захоронения ТБО, организуются места с самостоятельным вывозом отходов, под контролем и обслуживанием службы местного исполнительного органа.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48. Пищевые отходы объектов общественного питания, торговли, общеобразовательных, санаторно-курортных организаций, за исключением инфекционных стационаров,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противотуберкулезных, кожно-венерологических допускаются использовать на корм скоту.</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49. В населенных пунктах (на территории домовладений, организаций, культурно-массовых учреждений, зон отдыха) выделяют специальные площадки для размещения контейнеров для сбора отходов с подъездами для транспорта. Площадку устраивают с твердым покрытием и ограждают с трех сторон на высоту не менее 1,5 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50. Контейнеры для сбора ТБО оснащают крышками. В населенных пунктах контейнерную площадку размещают на расстоянии не более 25 м от жилых и общественных зданий, организаций, спортивных площадок и мест отдыха населения, исключая временные поселения (вахтовые поселки, нестационарные объекты и сооружения).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51. Расчетный объем контейнеров соответствует фактическому накоплению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Расчеты количества устанавливаемых контейнеров производят с учетом численности населения, пользующегося контейнерами, норм накопления отходов, сроков их хранения.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Срок хранения отходов в контейнерах при температуре 0 оС и ниже допускается не более трех суток, при плюсовой температуре не более суток.</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52.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53. На территории жилого объекта, организации и предприятий, подключенных к системам централизованного водоснабжения и канализаций, не допускается строить и переоборудовать дворовые установки, выгребные ямы и площадки для сбора мусора.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54. Сбор жидких отходов потребления осуществляется в выгребные ямы с водонепроницаемым выгребом и наземной частью с крышкой и решеткой для отделения твердых фракций. При наличии дворовых уборных допускается устройство общего выгреба.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55. Не канализованные дворовые и общественные уборные удаляют от жилых и общественных зданий, от площадок для игр детей и отдыха населения на расстояние не менее 25 м, от колодцев и каптажей родников – не менее 50 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56. В районах многоэтажной жилой застройки проводят планово-регулярную очистку прилегающей территории к контейнерной площадке в радиусе 1,5 м от края площадки ТБО по мере необходимости.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57. Количество транспортных средств, для транспортировки отходов определяют с учетом фактического развития застраиваемого участка и местных условий конкретного населенного пункта.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58. Площадку для мойки транспортных средств располагают вне территории хозяйственной зоны. На площадке предусматривают моечное отделение с подводкой холодной воды. Транспортные потоки чистых и грязных контейнеров и прибывающих на полигон мусоровозов разделяются и не должны пересекаться.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59. При отсутствии водопроводной воды мытье контейнеров при температуре наружного воздуха выше плюс 5 оС допускается осуществлять поливомоечными машинами.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60. Сточные воды от мытья контейнеров и транспортных средств направляют на карты для испарения или используют для увлажнения ТБО.</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61. При выезде с полигона устраивают дезинфицирующую бетонную ванну для обеззараживания колес мусоровозов. Длину ванны предусматривают не менее 8 м, ширину 3 м, глубину 0,3 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62. По периметру всей территории полигона устраивают легкое ограждение, осушительную траншею глубиной более 2 м, или земляной вал высотой не более 2 м.</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4. Санитарно-эпидемиологические требования к сбору,</w:t>
      </w:r>
      <w:r w:rsidRPr="000E620E">
        <w:rPr>
          <w:rFonts w:ascii="Arial" w:eastAsia="Times New Roman" w:hAnsi="Arial" w:cs="Arial"/>
          <w:b/>
          <w:bCs/>
          <w:sz w:val="27"/>
          <w:szCs w:val="27"/>
          <w:lang w:eastAsia="ru-RU"/>
        </w:rPr>
        <w:br/>
        <w:t>использованию, применению, обезвреживанию, транспортировке,</w:t>
      </w:r>
      <w:r w:rsidRPr="000E620E">
        <w:rPr>
          <w:rFonts w:ascii="Arial" w:eastAsia="Times New Roman" w:hAnsi="Arial" w:cs="Arial"/>
          <w:b/>
          <w:bCs/>
          <w:sz w:val="27"/>
          <w:szCs w:val="27"/>
          <w:lang w:eastAsia="ru-RU"/>
        </w:rPr>
        <w:br/>
        <w:t>хранению и захоронению медицинских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63. Медицинские отходы (далее – МО) по степени опасности подразделяются на 5 классов опасности: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класс А – неопасные медицинские отходы, подобные ТБО;</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класс Б – опасные (эпидемиологически) медицинские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класс В – чрезвычайно (эпидемиологически) опасные медицинские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класс Г – токсикологически опасные медицинские отходы, по составу близкие к промышленным;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класс Д – радиоактивные медицинские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64. На объектах здравоохранения, помещения для сортировки и временного хранения медицинских отходов предусматриваются в соответствии с Санитарными правилами "Санитарно-эпидемиологические требования к объектам здравоохранения", утверждаемыми в соответствии с пунктом 6 статьи 144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65. Лицам, осуществляющим транспортировку медицинских отходов с момента погрузки на транспортное средство и до приемки их в установленном месте, необходимо соблюдать меры безопасного обращения с ними.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Сбор, прием и транспортировка медицинских отходов осуществляются в одноразовых пакетах, емкостях, коробках безопасной утилизации (далее – КБУ), контейнерах. Контейнеры для каждого класса медицинских отходов, емкости и пакеты для сбора отходов </w:t>
      </w:r>
      <w:r w:rsidRPr="000E620E">
        <w:rPr>
          <w:rFonts w:ascii="Times New Roman" w:eastAsia="Times New Roman" w:hAnsi="Times New Roman" w:cs="Times New Roman"/>
          <w:sz w:val="24"/>
          <w:szCs w:val="24"/>
          <w:lang w:eastAsia="ru-RU"/>
        </w:rPr>
        <w:lastRenderedPageBreak/>
        <w:t>маркируются различной окраской. Конструкция контейнеров влагонепроницаемая, не допускающая возможности контакта посторонних лиц с содержимым.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66. Не допускается утрамбовывать медицинские отходы руками и осуществлять сбор, разбор медицинских отходов без средств индивидуальной защиты.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67. Медицинские отходы класса Б обезвреживаются на специальных установках: по сжиганию (инсинераторы), имеющих газоочистку, или установки по обеззараживанию. Продукты сжигания медотходов и обезвреженные отходы становятся медотходами класса А и подлежат захоронению, как ТБО.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68. Использованные колющие и другие острые предметы (иглы, перья, бритвы, ампулы) принимаются в КБУ, которые подлежат утилизации без предварительного разбора.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69.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Санитарными правилами "Санитарно-эпидемиологические требования к коммунальным объектам", утверждаемыми в соответствии с пунктом 6 статьи 144 Кодекса.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хранения и транспортировки.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71. Захоронение медицинских отходов класса Г осуществляется на полигонах для опасных отходов, а в случае их обезвреживания на полигонах ТБО.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72. Перевозка медицинских отходов допускается на транспортном средстве, оборудованном водонепроницаемым закрытым кузовом, легко подвергающимся дезинфекционной обработке при наличии на транспорт санитарно-эпидемиологического заключения территориального подразделения ведомства государственного органа в сфере санитарно-эпидемиологического благополучия населения, в соответствии с пунктом 8 статьи 62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73. После выгрузки медицинских отходов транспортное средство подвергается мытью, дезинфекции и содержится в чистоте.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74. Сжигание медицинских отходов предусматривается в специальных установках (необеззараженные МО класса "Б" и все МО класса "В"), размещенных с учетом размера СЗЗ, согласно Санитарным правилам по установлению СЗЗ производственных объектов, утверждаемых в соответствии с пунктом 6 статьи 144 Кодекса. Не допускается сжигание медицинских отходов на территории объектов и населенных пунктов вне специализированных установок.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75. Обезвреживание термическим способом (сжигание) медицинских отходов проводится путем термического воздействия на медицинские отходы при температуре не ниже 800 – 1000 оС.</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76. Медицинские отходы на обезвреживание принимаются при наличии сопроводительного акта подписанного ответственным лицом объекта здравоохранения с указанием класса и объема отходов.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77. Прием медицинских отходов осуществляется в упакованном виде, с ведением качественного и количественного учета в специальном журнале.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78. Специальная установка для обезвреживания медицинских отходов размещается и эксплуатируется согласно технической документации изготовителя.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79. На объектах захоронения и утилизации медицинских отходов предусматривается комната для сортировки и временного хранения медицинских отходов площадью не менее 12 квадратных метров (далее – м2) и оборудуется приточно-вытяжной вентиляцией, холодильным оборудованием для хранения биологических отходов, раздельными стеллажами, контейнерами для сбора пакетов с медицинскими отходами, весами, раковиной с подводкой горячей и холодной воды, бактерицидной лампой. В каждом помещении создаются условия для мытья, хранения и обеззараживания емкостей. Выделяется отдельная спецодежда для обслуживающего персонала.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80. Пол, стены, потолок помещений для временного хранения медицинских отходов выполняются из материалов, устойчивых к моющим и дезинфицирующим средствам.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81. Кроме основных помещений, выделяются помещения для персонала площадью не менее 6 м2, кладовая для уборочного инвентаря, моющих и дезинфицирующих средств площадью не менее 4 м2, моечной оборотной тары.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82.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воды, оснащенной средствами для мытья и сушки рук.</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83. Рабочие, занятые сбором, обезвреживанием, транспортировкой, хранением и захоронением медицинских отходов проходят предварительные (при поступлении на работу) и периодические медицинские осмотры в соответствии с "Перечнем вредных производственных факторов, профессий, при которых проводятся обязательные медицинские осмотры" и "Правилами проведения обязательных медицинских осмотров", утверждаемыми в соответствии с пунктом 4 статьи 155 Кодекса.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84. На местах захоронения медицинских отходов соблюдаются следующие условия личной гигиены: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работа осуществляется в защитных масках, экранах, одноразовых резиновых или латексных перчатках;</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не допускается курение и прием пищи на рабочем месте;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3) работа осуществляется в специальной одежде;</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4) хранение личной и специальной одежды осуществляется раздельно в шкафах.</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5. Санитарно-эпидемиологические требования к устройству,</w:t>
      </w:r>
      <w:r w:rsidRPr="000E620E">
        <w:rPr>
          <w:rFonts w:ascii="Arial" w:eastAsia="Times New Roman" w:hAnsi="Arial" w:cs="Arial"/>
          <w:b/>
          <w:bCs/>
          <w:sz w:val="27"/>
          <w:szCs w:val="27"/>
          <w:lang w:eastAsia="ru-RU"/>
        </w:rPr>
        <w:br/>
        <w:t>содержанию и эксплуатации полигонов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85. Размер участка для полигона захоронения ТБО устанавливается исходя из срока накопления отходов в течение 20 – 25 лет.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86. Места для полигона предусматриваются на отдельных, свободных от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возможное загрязнение населенных пунктов и зон массового отдыха людей, хозяйственного водоснабжения, минеральных источников, открытых водоемов и подземных вод.</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границами зон водозабора открытых водоемов, зимовальных ям, мест массового нереста и нагула рыб.</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88. Полигон размещают на участках, где подземные воды залегают на глубине более 20 м и перекрыты малопроницаемыми породами с коэффициентом фильтрации не более 10 м/сут. Основу дна полигона размещают не менее 4 м от наивысшего основного стояния уровня подземных вод. Дно и стенки устраивают с гидроизоляцией.</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89. Размер и озеленение СЗЗ полигонов ТБО осуществляется в соответствии с Санитарными правилами "Санитарно-эпидемиологические требования по установлению санитарно-защитной зоны производственных обьектов", утверждаемыми в соответствии с пунктом 6 статьи 144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90. Не допускается размещать полигон на резервных территориях жилищного строительства, расширения производственных объектов, рекреационных зон, в долинах рек, балках, на участках с проседаниями почвы, в местах развития карстовых процессов, на территории залегания полезных ископаемых, в зоне питания подземных источников питьевой воды.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91. Наклон территории полигона в направлении населенных мест, производственных объектов, сельскохозяйственных угодий и водотоков не должно превышать 1,5 %.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92. Размер СЗЗ полигона до населенных пунктов и открытых водоемов, а также объектов, которые используют в рекреационных целях, составляет не менее 1000 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93. Отходы производства 4 класса опасности принимаются без ограничений и используются в качестве изолирующего материала. Эти отходы характеризуются содержанием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БПКполн) и химической потребности в кислороде (далее – ХПК) – не выше 300 миллиграмм на литр (далее – мг/л), однородной структурой с размером фракций менее 250 мм.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Перечень отходов производства 4 класса опасности, принимаемых на полигоны ТБО без ограничений и используемых в качестве изолирующего материала, приведен в приложении 1 к настоящим Санитарным правилам.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Перечень отходов производства 3 и 4 класса опасности, принимаемых на полигоны в ограниченном количестве и складируемых совместно (нормативы на 1000 м3 ТБО), приведен в приложении 2 к настоящим Санитарным правилам.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Перечень отходов производства 3 и 4 класса опасности, принимаемых в ограниченном количестве и складируемых с соблюдением особых условий, приведен в приложении 3 к настоящим Санитарным правилам.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94. Территорию полигона делят на две зоны: зона складирования ТБО и зона размещения хозяйственно-бытовых объектов.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95. Для персонала полигонов предусматривают бытовые помещения. В состав бытовых помещений входят: комната для приема пищи и комната для хранения специальной одежды, санитарный узел и душевая с подводкой горячей и холодной воды.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96. Работники, связанные с обращением отходов производства и потребления работают в спецодежде, специальной обуви и средствах индивидуальной защиты.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97. Персонал, занятый сбором, утилизацией твердых и жидких отходов, эксплуатацией соответствующих сооружений, проходит предварительный при поступлении на работу и </w:t>
      </w:r>
      <w:r w:rsidRPr="000E620E">
        <w:rPr>
          <w:rFonts w:ascii="Times New Roman" w:eastAsia="Times New Roman" w:hAnsi="Times New Roman" w:cs="Times New Roman"/>
          <w:sz w:val="24"/>
          <w:szCs w:val="24"/>
          <w:lang w:eastAsia="ru-RU"/>
        </w:rPr>
        <w:lastRenderedPageBreak/>
        <w:t>периодические медицинские осмотры в соответствии с "Перечнем вредных производственных факторов, профессий, при которых проводятся обязательные медицинские осмотры" и "Правилами проведения обязательных медицинских осмотров", утверждаемыми в соответствии с пунктом 4 статьи 155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98. Рекультивация/ликвидация полигона ТБО после его заполнения проводится в соответствии с проектом.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99.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100. На полигоне ТБО принимают отходы потребления и некоторые виды твердых отходов производства (3 и 4 класса опасности), а также не опасные отходы, класс которых устанавливают экспериментальными методами.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101. Для совместного складирования ТБО принимают не взрывоопасные и не самовозгорающиеся отходы производства влажностью не более 85%. Жидкие и пастообразные отходы на полигон ТБО не принимают.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102. На полигоне имеется список (перечень) обслуживаемых организаций с указанием отходов и их количества.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103. Отходы производства 3 и 4 класса опасности принимают в ограниченном количестве (не более 30%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 – 5000 мг/л кислорода.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104. На каждую партию вывозимых на полигон отходов руководством производственного объекта оформляется справка по форме согласно приложению 4 к настоящим Санитарным правилам.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105. На полигоны ТБО не допускается прием химических отходов и отходов, представляющих эпидемическую опасность, без обезвреживания на специальных сооружениях. Обезвреживание и захоронение твердых, жидких и пастообразных отходов, обладающих радиоактивностью, осуществляют на специализированных полигонах.</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106. На полигоны ТБО не допускается прием трупов павших животных, конфискатов, остатков мясных туш из мясокомбинатов, их обезвреживание производят на скотомогильниках или утилизационных заводах.</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107. Для обеззараживания отходов на полигоне используют методы полевого компостирования в буртах, для полигонов, принимающих менее 120000 м3 ТБО в год, применяют траншейную схему складирования ТБО. Траншеи имеют глубину 3 – 6 м и ширину по верху 6 – 12 м. Траншеи устраивают перпендикулярно направлению господствующих ветров.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108. Грунт, полученный от рытья траншей, используют для их засыпки после заполнения ТБО.</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109. Длину одной траншеи устраивают с учетом времени ее заполнения: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 в период температур выше 0 оС, в течение 1 – 2 месяцев;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2) в период температур ниже 0 оС – на весь период промерзания грунтов.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110. Не допускается непосредственное складирование ТБО в воду на болотистых и заливаемых паводковыми водами участках. До использования таких участков под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 При наличии грунтовых вод на глубине менее 1 м на поверхность наносят изолирующий слой с предварительным осушением грунта.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111. В зеленой зоне полигона (по периметру) устраивают контрольные скважины для учета влияния ТБО на грунтовые воды, одна из них выше полигона по потоку грунтовых вод, 1 – 2 скважины ниже полигона.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112. Учет количества ТБО, доставляемого на полигон, ведут в специальном журнале по форме согласно приложению 5 к настоящим Санитарным правилам.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113. При складировании ТБО на рабочей карте осуществляют промежуточную или окончательную изоляцию уплотненного слоя отходов толщиной 2,0 м грунтом или другим инертным материалом. На плоских полигонах изоляцию отходов проводят в летний период ежесуточно, при температуре ниже плюс 5 оС – не позднее 3 суток с момента складирования.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114. В качестве изолирующего материала используют шлаки и/или отходы производств: известь, мел, соду, гипс, графит, асбоцемент, шифер.</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115.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116. Обводные каналы, отводящие грунтовые и поверхностные стоки в открытые водоемы, подлежат регулярной очистке от мусора.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117.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118. 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 превышающей предусмотренную вертикальную отметку с учетом последующей усадки.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119. Последний слой отходов перед закрытием полигона окончательно перекрывают наружным изолирующим слоем грунта.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120. При окончательной планировке наружного изолирующего слоя устраивают скат к краям полигона для стока воды.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121. Укрепление 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122. Устройство верхнего изолирующего слоя полигона определяется предусмотренными условиями 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123.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124. Не допускается использование территории рекультивируемого полигона под капитальное строительство.</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125.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126.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расчетной СЗЗ согласно Санитарным правилам "Санитарно-эпидемиологические требования по установлению санитарно-защитной зоны производственных обьектов", утверждаемыми в соответствии с пунктом 6 статьи 144 Кодекса.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должно превышать 15 %. Основание под размещение отходов должно отвечать требованиям установленного порядка по проектированию, эксплуатации и рекультивации полигонов для ТБО.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127. Размер СЗЗ для рекультивируемого карьера принимают равным размеру СЗЗ для мусороперегрузочных станций ТБО и составляет не менее 100 м от ближайшей жилой застройки. Рекультивируемый карьер имеет ограждение и временные хозяйственно-бытовые объекты для обеспечения выполнения работ.</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128. Технологический контроль на полигоне ТБО и полигоне захоронения отходов производства осуществляют предприятие – владелец полигона или аккредитованная лаборатория. Лаборатория обеспечивает контроль за состоянием загрязнения атмосферного воздуха, воды открытых водоемов, подземных вод в рабочей зоне полигона и в границе СЗЗ.</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129. Производственный (лабораторный) контроль осуществляют выше и ниже полигона по потоку грунтовых вод, а также выше полигона на поверхностных водоисточниках и ниже полигона на водоотводных каналах.</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130. Анализы проб атмосферного воздуха над отработанными участками полигона и на границе СЗЗ на содержание соединений производят ежеквартально. Объем определяемых показателей и периодичность объема проб обосновывают в проекте производственного контроля полигонов. При анализе проб атмосферного воздуха определяют метан, сероводород, аммиак, окись углерода, бензол, трихлорметан, четыреххлористый углерод, хлорбензол.</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131. На полигоне захоронения отходов производства перечень контролируемых вредных веществ, содержащихся в отходах, зависит от состава отходов.</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132. В случае установления загрязнения атмосферы выше ПДК на границе СЗЗ и выше ПДК в рабочей зоне принимают меры по снижению уровня загрязнения.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133. Система производственного контроля включает наблюдение за состоянием почвы в зоне возможного влияния полигона. Качество почвы контролируют по химическим (содержание тяжелых металлов, нитритов, нитратов, гидрокарбонатов, органического углерода, рН, цианидов, свинца, ртути, мышьяка), микробиологическим (общее бактериальное число, коли-титр, титр протея), паразитологическим (яйца гельминтов) и радиологическим показателям.</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134. Размеры СЗЗ и СР сливных станций устанавливается в соответствии с Санитарными правилами "Санитарно-эпидемиологические требования по установлению санитарно-защитной зоны производственных обьектов", утверждаемыми в соответствии с пунктом 6 статьи 144 Кодекса.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135. При организации и проведении работ с радиоактивными отходами следует руководствоваться требованиями Санитарных правил "Санитарно-эпидемиологические требования к обеспечению радиационной безопасности", утверждаемые в соответствии с пунктом 6 статьи 144 Кодекса.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м3.</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136. Выгрузку жидких отходов из автоцистерн с вакуумным наполнением производят через заборные рукава в приемные устройства.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137. К жидким отходам добавляют воду из расчета 1:1, твердые примеси измельчают на мусородробильных установках и спускают в канализацию, а при их отсутствии ежедневно вывозят в места, отведенного для обезвреживания ТБО.</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138. В не канализованных населенных пунктах производят раздельный сбор твердых и жидких отходов. Жидкие отходы собирают в водонепроницаемые выгребные ямы и вывозят ассенизационным транспортом на поля ассенизации или поля запахивания.</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139. Поля ассенизации устраивают на расстоянии не менее 1000 м от границ селитебной зоны с удобными подъездными путями.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140. Поля делят на летнюю и зимнюю территорию и на отдельные участки (карты). Жидкие отходы разливают на поле по вспаханной поверхности и запахивают на глубину 20 см. Зимние участки перепахивают с осени и заливают зимой, весной после подсыхания участок перепахивают снова.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141. На полях ассенизации допускается посев технических культур и не допускается использовать их для посева овощеводческой культуры.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142. Поля запахивания и ассенизации ограждают, устанавливают площадки для мойки транспорта. Помещение для рабочих обеспечивается освещением и водой.</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Приложение 1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к Санитарным правилам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"Санитарно-эпидемиологические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требования к сбору, использованию,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применению, обезвреживанию,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транспортировке, хранению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и захоронению отходов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производства и потребления" </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Перечень</w:t>
      </w:r>
      <w:r w:rsidRPr="000E620E">
        <w:rPr>
          <w:rFonts w:ascii="Arial" w:eastAsia="Times New Roman" w:hAnsi="Arial" w:cs="Arial"/>
          <w:b/>
          <w:bCs/>
          <w:sz w:val="27"/>
          <w:szCs w:val="27"/>
          <w:lang w:eastAsia="ru-RU"/>
        </w:rPr>
        <w:br/>
        <w:t>отходов производства 4 класса опасности (по степени</w:t>
      </w:r>
      <w:r w:rsidRPr="000E620E">
        <w:rPr>
          <w:rFonts w:ascii="Arial" w:eastAsia="Times New Roman" w:hAnsi="Arial" w:cs="Arial"/>
          <w:b/>
          <w:bCs/>
          <w:sz w:val="27"/>
          <w:szCs w:val="27"/>
          <w:lang w:eastAsia="ru-RU"/>
        </w:rPr>
        <w:br/>
        <w:t xml:space="preserve">токсичности), принимаемых на полигоны твердых бытовых </w:t>
      </w:r>
      <w:r w:rsidRPr="000E620E">
        <w:rPr>
          <w:rFonts w:ascii="Arial" w:eastAsia="Times New Roman" w:hAnsi="Arial" w:cs="Arial"/>
          <w:b/>
          <w:bCs/>
          <w:sz w:val="27"/>
          <w:szCs w:val="27"/>
          <w:lang w:eastAsia="ru-RU"/>
        </w:rPr>
        <w:lastRenderedPageBreak/>
        <w:t>отходов</w:t>
      </w:r>
      <w:r w:rsidRPr="000E620E">
        <w:rPr>
          <w:rFonts w:ascii="Arial" w:eastAsia="Times New Roman" w:hAnsi="Arial" w:cs="Arial"/>
          <w:b/>
          <w:bCs/>
          <w:sz w:val="27"/>
          <w:szCs w:val="27"/>
          <w:lang w:eastAsia="ru-RU"/>
        </w:rPr>
        <w:br/>
        <w:t>без ограничений и используемых в качестве изолирующего</w:t>
      </w:r>
      <w:r w:rsidRPr="000E620E">
        <w:rPr>
          <w:rFonts w:ascii="Arial" w:eastAsia="Times New Roman" w:hAnsi="Arial" w:cs="Arial"/>
          <w:b/>
          <w:bCs/>
          <w:sz w:val="27"/>
          <w:szCs w:val="27"/>
          <w:lang w:eastAsia="ru-RU"/>
        </w:rPr>
        <w:br/>
        <w:t>материала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8896"/>
      </w:tblGrid>
      <w:tr w:rsidR="000E620E" w:rsidRPr="000E620E" w:rsidTr="000E620E">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w:t>
            </w:r>
          </w:p>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Вид отхода</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Алюмосиликатный шлам СБ-Г-43-6</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Асбестоцементный лом</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Асбестовая крошка</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Бентонита отходы</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Графит отработанный производства карбида кальция</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Гипсосодержащие отходы производства витамина В-6</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Известь-кипелка, известняк, шламы после гашения</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Мела химически осажденного твердые отходы</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 xml:space="preserve">Окись алюминия в виде отработанных брикетов </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Окись кремния (при производстве ПВХ и А1С13)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Паратита-отходы</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Плав солей сульфата натрия</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Селикагель (из адсорберов осушки нетоксичных газов)</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 xml:space="preserve">Селикагеля производства шлам с фильтр-прессов </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Соды гранулированный шлам</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Содово-цементного производства отходы дистилляции в виде CaSО4</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Формовочные стержневые смеси, не содержащие тяжелых металлов</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Химводоочистки и умягчения воды шламы</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 xml:space="preserve">Хлорид-натриевые осадки сточных вод </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Хлорная известь нестандартная</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lastRenderedPageBreak/>
              <w:t>21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Шиферного производства твердые отходы</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Шлаки ТЭЦ, котельных, работающих на угле, торфе, сланцах или бытовых отходах</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Шлифовальные материалы</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Строительные отходы: строительный грунт, отходы бетона, раствора, ПГС, бой кирпича, отходы керамических изделий, самана, глины и т.п.</w:t>
            </w:r>
          </w:p>
        </w:tc>
      </w:tr>
    </w:tbl>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Приложение 2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к Санитарным правилам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"Санитарно-эпидемиологические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требования к сбору, использованию,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применению, обезвреживанию,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транспортировке, хранению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и захоронению отходов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производства и потребления" </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Перечень</w:t>
      </w:r>
      <w:r w:rsidRPr="000E620E">
        <w:rPr>
          <w:rFonts w:ascii="Arial" w:eastAsia="Times New Roman" w:hAnsi="Arial" w:cs="Arial"/>
          <w:b/>
          <w:bCs/>
          <w:sz w:val="27"/>
          <w:szCs w:val="27"/>
          <w:lang w:eastAsia="ru-RU"/>
        </w:rPr>
        <w:br/>
        <w:t>отходов производства 3 и 4 класса опасности (по степени</w:t>
      </w:r>
      <w:r w:rsidRPr="000E620E">
        <w:rPr>
          <w:rFonts w:ascii="Arial" w:eastAsia="Times New Roman" w:hAnsi="Arial" w:cs="Arial"/>
          <w:b/>
          <w:bCs/>
          <w:sz w:val="27"/>
          <w:szCs w:val="27"/>
          <w:lang w:eastAsia="ru-RU"/>
        </w:rPr>
        <w:br/>
        <w:t>токсичности), принимаемых на полигоны в ограниченном количестве</w:t>
      </w:r>
      <w:r w:rsidRPr="000E620E">
        <w:rPr>
          <w:rFonts w:ascii="Arial" w:eastAsia="Times New Roman" w:hAnsi="Arial" w:cs="Arial"/>
          <w:b/>
          <w:bCs/>
          <w:sz w:val="27"/>
          <w:szCs w:val="27"/>
          <w:lang w:eastAsia="ru-RU"/>
        </w:rPr>
        <w:br/>
        <w:t>и складируемых совместно с твердыми бытовыми отходами</w:t>
      </w:r>
      <w:r w:rsidRPr="000E620E">
        <w:rPr>
          <w:rFonts w:ascii="Arial" w:eastAsia="Times New Roman" w:hAnsi="Arial" w:cs="Arial"/>
          <w:b/>
          <w:bCs/>
          <w:sz w:val="27"/>
          <w:szCs w:val="27"/>
          <w:lang w:eastAsia="ru-RU"/>
        </w:rPr>
        <w:br/>
        <w:t>(нормативы на 1000 м3 твердых бытовых отходов)</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4858"/>
        <w:gridCol w:w="4038"/>
      </w:tblGrid>
      <w:tr w:rsidR="000E620E" w:rsidRPr="000E620E" w:rsidTr="000E620E">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w:t>
            </w:r>
          </w:p>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Вид отхода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Предельное количество отходов производства тонн на 1000 м3 твердых бытовых отходов</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Кубовые остатки производства уксусного ангидрида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Резита отходы (отвержденная формальдегидная смола)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Твердые отходы производства вспенивающихся полистирольных пластиков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r>
      <w:tr w:rsidR="000E620E" w:rsidRPr="000E620E" w:rsidTr="000E620E">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Отходы при производстве электроизоляционных материалов:</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Гетинакс электротехнический листовой Ш-8,0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lastRenderedPageBreak/>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Липкая лента ЛСНПЛ – 0,17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Полиэтиленовая трубка ПНП</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Стеклолакоткань ЛСЭ – 0,15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Стеклянная ткань Э2-62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Текстолит электротехнический листовой Б-16,0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Фенопласт 03-010-02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r>
      <w:tr w:rsidR="000E620E" w:rsidRPr="000E620E" w:rsidTr="000E620E">
        <w:tc>
          <w:tcPr>
            <w:tcW w:w="0" w:type="auto"/>
            <w:gridSpan w:val="3"/>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Твердые отходы суспензионного, эмульсионного производства:</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Сополимеры стирола с акрилонитрилом или метилметакрилатом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Полистирольных пластиков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Акрилонитрилбутадиенстирольных пластиков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Полистиролов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r>
    </w:tbl>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Приложение 3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к Санитарным правилам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"Санитарно-эпидемиологические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требования к сбору, использованию,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применению, обезвреживанию,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транспортировке, хранению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и захоронению отходов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производства и потребления" </w:t>
      </w:r>
    </w:p>
    <w:p w:rsidR="000E620E" w:rsidRPr="000E620E" w:rsidRDefault="000E620E" w:rsidP="000E620E">
      <w:pPr>
        <w:spacing w:after="0" w:line="330" w:lineRule="atLeast"/>
        <w:jc w:val="center"/>
        <w:outlineLvl w:val="2"/>
        <w:rPr>
          <w:rFonts w:ascii="Arial" w:eastAsia="Times New Roman" w:hAnsi="Arial" w:cs="Arial"/>
          <w:b/>
          <w:bCs/>
          <w:sz w:val="27"/>
          <w:szCs w:val="27"/>
          <w:lang w:eastAsia="ru-RU"/>
        </w:rPr>
      </w:pPr>
      <w:r w:rsidRPr="000E620E">
        <w:rPr>
          <w:rFonts w:ascii="Arial" w:eastAsia="Times New Roman" w:hAnsi="Arial" w:cs="Arial"/>
          <w:b/>
          <w:bCs/>
          <w:sz w:val="27"/>
          <w:szCs w:val="27"/>
          <w:lang w:eastAsia="ru-RU"/>
        </w:rPr>
        <w:t>Перечень</w:t>
      </w:r>
      <w:r w:rsidRPr="000E620E">
        <w:rPr>
          <w:rFonts w:ascii="Arial" w:eastAsia="Times New Roman" w:hAnsi="Arial" w:cs="Arial"/>
          <w:b/>
          <w:bCs/>
          <w:sz w:val="27"/>
          <w:szCs w:val="27"/>
          <w:lang w:eastAsia="ru-RU"/>
        </w:rPr>
        <w:br/>
        <w:t>отходов производства 3 и 4 класса опасности (по степени</w:t>
      </w:r>
      <w:r w:rsidRPr="000E620E">
        <w:rPr>
          <w:rFonts w:ascii="Arial" w:eastAsia="Times New Roman" w:hAnsi="Arial" w:cs="Arial"/>
          <w:b/>
          <w:bCs/>
          <w:sz w:val="27"/>
          <w:szCs w:val="27"/>
          <w:lang w:eastAsia="ru-RU"/>
        </w:rPr>
        <w:br/>
        <w:t>токсичности), принимаемых в ограниченном количестве и</w:t>
      </w:r>
      <w:r w:rsidRPr="000E620E">
        <w:rPr>
          <w:rFonts w:ascii="Arial" w:eastAsia="Times New Roman" w:hAnsi="Arial" w:cs="Arial"/>
          <w:b/>
          <w:bCs/>
          <w:sz w:val="27"/>
          <w:szCs w:val="27"/>
          <w:lang w:eastAsia="ru-RU"/>
        </w:rPr>
        <w:br/>
        <w:t>складируемых с соблюдением особых условий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976"/>
        <w:gridCol w:w="2753"/>
        <w:gridCol w:w="3167"/>
      </w:tblGrid>
      <w:tr w:rsidR="000E620E" w:rsidRPr="000E620E" w:rsidTr="000E620E">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w:t>
            </w:r>
          </w:p>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Вид отходов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Предельное количество отходов производства (тонн на 1000 м3 твердых бытовых отходов)</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Особые условия складирования на полигоне или подготовки на производственных объектах</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4</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Активированный уголь производство витамина В-6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Укладка слоем не более 0,2 м</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Ацетобутилатцеллюлозы отходы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Прессование в кипы размером не более 0,3 х 0,3 х 0,3 м в увлажненном состоянии</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Древесные и опилочностружечные отходы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Не должны содержать опилки, идущие на посыпание полов в производственных помещениях</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Лоскут хромовый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Укладка слоем до 0,2 м</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Невозвратная деревянная и бумажная тара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Не включает промасленную бумагу</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Обрезь кожезаменителей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Укладка слоем не более 0,2 м</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Отбельная земля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Укладка слоем 0,2 м</w:t>
            </w: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Фаолитовая пыль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Затаривание в мешки в увлажненном состоянии</w:t>
            </w:r>
          </w:p>
        </w:tc>
      </w:tr>
    </w:tbl>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Приложение 4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к Санитарным правилам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"Санитарно-эпидемиологические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требования к сбору, использованию,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применению, обезвреживанию,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транспортировке, хранению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и захоронению отходов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производства и потребления"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Форма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b/>
          <w:bCs/>
          <w:sz w:val="24"/>
          <w:szCs w:val="24"/>
          <w:lang w:eastAsia="ru-RU"/>
        </w:rPr>
        <w:t>Справка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b/>
          <w:bCs/>
          <w:sz w:val="24"/>
          <w:szCs w:val="24"/>
          <w:lang w:eastAsia="ru-RU"/>
        </w:rPr>
        <w:t>об отходах производства, направляемых на полигон</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Регистрационный № 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Наименование предприятия, сдающего отходы 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Дата отправления ________________________ № машины 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Договор со спецавтохозяйством или полигоном № 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Наименование вида отхода 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Количество: в тоннах _____________________________________ в м3</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lastRenderedPageBreak/>
        <w:t>Подписи:</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Отгрузил отходы 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Сдал отходы на полигон 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Принял отходы 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Дата приема "____"_____________20___года</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Не принято (с указанием причин) 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_____________________________________________________________________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Контрольный талон к справке (выдается предприятию, сдающему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Наименование предприятия, сдавшего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_____________________________________________________________________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Дата приема __________________________________________________№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автомашины ____________________________________________________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Вид отхода 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Количество в т, м3 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Лицо, принявшее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_____________________________________________________________________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Лицо, сдавшее отходы</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_____________________________________________________________________</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Приложение 5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к Санитарным правилам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"Санитарно-эпидемиологические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требования к сбору, использованию,</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применению, обезвреживанию,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транспортировке, хранению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и захоронению отходов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производства и потребления"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sz w:val="24"/>
          <w:szCs w:val="24"/>
          <w:lang w:eastAsia="ru-RU"/>
        </w:rPr>
        <w:t xml:space="preserve">Форма </w:t>
      </w:r>
    </w:p>
    <w:p w:rsidR="000E620E" w:rsidRPr="000E620E" w:rsidRDefault="000E620E" w:rsidP="000E620E">
      <w:pPr>
        <w:spacing w:after="195" w:line="240" w:lineRule="auto"/>
        <w:jc w:val="both"/>
        <w:rPr>
          <w:rFonts w:ascii="Times New Roman" w:eastAsia="Times New Roman" w:hAnsi="Times New Roman" w:cs="Times New Roman"/>
          <w:sz w:val="24"/>
          <w:szCs w:val="24"/>
          <w:lang w:eastAsia="ru-RU"/>
        </w:rPr>
      </w:pPr>
      <w:r w:rsidRPr="000E620E">
        <w:rPr>
          <w:rFonts w:ascii="Times New Roman" w:eastAsia="Times New Roman" w:hAnsi="Times New Roman" w:cs="Times New Roman"/>
          <w:b/>
          <w:bCs/>
          <w:sz w:val="24"/>
          <w:szCs w:val="24"/>
          <w:lang w:eastAsia="ru-RU"/>
        </w:rPr>
        <w:t>Журнал учета количества твердых бытовых отходов</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30"/>
        <w:gridCol w:w="2636"/>
        <w:gridCol w:w="2547"/>
        <w:gridCol w:w="1055"/>
        <w:gridCol w:w="879"/>
        <w:gridCol w:w="625"/>
        <w:gridCol w:w="977"/>
      </w:tblGrid>
      <w:tr w:rsidR="000E620E" w:rsidRPr="000E620E" w:rsidTr="000E620E">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Дата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Регистрационный номер справки организации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Наименование организации, отгрузившей отходы</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Вид отходов</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Количество отходов</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Номер карты</w:t>
            </w:r>
          </w:p>
        </w:tc>
      </w:tr>
      <w:tr w:rsidR="000E620E" w:rsidRPr="000E620E" w:rsidTr="000E620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E620E" w:rsidRPr="000E620E" w:rsidRDefault="000E620E" w:rsidP="000E620E">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0E620E" w:rsidRPr="000E620E" w:rsidRDefault="000E620E" w:rsidP="000E620E">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0E620E" w:rsidRPr="000E620E" w:rsidRDefault="000E620E" w:rsidP="000E620E">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0E620E" w:rsidRPr="000E620E" w:rsidRDefault="000E620E" w:rsidP="000E620E">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тонн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м3</w:t>
            </w:r>
          </w:p>
        </w:tc>
        <w:tc>
          <w:tcPr>
            <w:tcW w:w="0" w:type="auto"/>
            <w:vMerge/>
            <w:tcBorders>
              <w:top w:val="single" w:sz="2" w:space="0" w:color="000000"/>
              <w:bottom w:val="single" w:sz="2" w:space="0" w:color="000000"/>
              <w:right w:val="single" w:sz="2" w:space="0" w:color="000000"/>
            </w:tcBorders>
            <w:vAlign w:val="center"/>
            <w:hideMark/>
          </w:tcPr>
          <w:p w:rsidR="000E620E" w:rsidRPr="000E620E" w:rsidRDefault="000E620E" w:rsidP="000E620E">
            <w:pPr>
              <w:spacing w:after="0" w:line="240" w:lineRule="atLeast"/>
              <w:rPr>
                <w:rFonts w:ascii="Arial" w:eastAsia="Times New Roman" w:hAnsi="Arial" w:cs="Arial"/>
                <w:sz w:val="20"/>
                <w:szCs w:val="20"/>
                <w:lang w:eastAsia="ru-RU"/>
              </w:rPr>
            </w:pPr>
          </w:p>
        </w:tc>
      </w:tr>
      <w:tr w:rsidR="000E620E" w:rsidRPr="000E620E" w:rsidTr="000E620E">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0E620E" w:rsidRPr="000E620E" w:rsidRDefault="000E620E" w:rsidP="000E620E">
            <w:pPr>
              <w:spacing w:after="195" w:line="240" w:lineRule="atLeast"/>
              <w:jc w:val="both"/>
              <w:rPr>
                <w:rFonts w:ascii="Arial" w:eastAsia="Times New Roman" w:hAnsi="Arial" w:cs="Arial"/>
                <w:sz w:val="20"/>
                <w:szCs w:val="20"/>
                <w:lang w:eastAsia="ru-RU"/>
              </w:rPr>
            </w:pPr>
            <w:r w:rsidRPr="000E620E">
              <w:rPr>
                <w:rFonts w:ascii="Arial" w:eastAsia="Times New Roman" w:hAnsi="Arial" w:cs="Arial"/>
                <w:sz w:val="20"/>
                <w:szCs w:val="20"/>
                <w:lang w:eastAsia="ru-RU"/>
              </w:rPr>
              <w:t>7</w:t>
            </w: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r w:rsidR="000E620E" w:rsidRPr="000E620E" w:rsidTr="000E620E">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0E620E" w:rsidRPr="000E620E" w:rsidRDefault="000E620E" w:rsidP="000E620E">
            <w:pPr>
              <w:spacing w:after="0" w:line="240" w:lineRule="atLeast"/>
              <w:rPr>
                <w:rFonts w:ascii="Times New Roman" w:eastAsia="Times New Roman" w:hAnsi="Times New Roman" w:cs="Times New Roman"/>
                <w:sz w:val="20"/>
                <w:szCs w:val="20"/>
                <w:lang w:eastAsia="ru-RU"/>
              </w:rPr>
            </w:pPr>
          </w:p>
        </w:tc>
      </w:tr>
    </w:tbl>
    <w:p w:rsidR="000E620E" w:rsidRPr="000E620E" w:rsidRDefault="000E620E" w:rsidP="000E620E">
      <w:pPr>
        <w:pBdr>
          <w:bottom w:val="single" w:sz="6" w:space="1" w:color="auto"/>
        </w:pBdr>
        <w:spacing w:after="0" w:line="240" w:lineRule="auto"/>
        <w:jc w:val="center"/>
        <w:rPr>
          <w:rFonts w:ascii="Arial" w:eastAsia="Times New Roman" w:hAnsi="Arial" w:cs="Arial"/>
          <w:vanish/>
          <w:sz w:val="16"/>
          <w:szCs w:val="16"/>
          <w:lang w:eastAsia="ru-RU"/>
        </w:rPr>
      </w:pPr>
      <w:r w:rsidRPr="000E620E">
        <w:rPr>
          <w:rFonts w:ascii="Arial" w:eastAsia="Times New Roman" w:hAnsi="Arial" w:cs="Arial"/>
          <w:vanish/>
          <w:sz w:val="16"/>
          <w:szCs w:val="16"/>
          <w:lang w:eastAsia="ru-RU"/>
        </w:rPr>
        <w:t>Начало формы</w:t>
      </w:r>
    </w:p>
    <w:p w:rsidR="000E620E" w:rsidRPr="000E620E" w:rsidRDefault="000E620E" w:rsidP="000E620E">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0E620E"/>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12"/>
    <w:rsid w:val="000E620E"/>
    <w:rsid w:val="00974912"/>
    <w:rsid w:val="00AF7861"/>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64A0"/>
  <w15:chartTrackingRefBased/>
  <w15:docId w15:val="{BDC6182A-9AD3-4D5A-8064-B6FFF3F8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6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62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62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2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62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620E"/>
    <w:rPr>
      <w:rFonts w:ascii="Times New Roman" w:eastAsia="Times New Roman" w:hAnsi="Times New Roman" w:cs="Times New Roman"/>
      <w:b/>
      <w:bCs/>
      <w:sz w:val="27"/>
      <w:szCs w:val="27"/>
      <w:lang w:eastAsia="ru-RU"/>
    </w:rPr>
  </w:style>
  <w:style w:type="character" w:customStyle="1" w:styleId="auto-matches">
    <w:name w:val="auto-matches"/>
    <w:basedOn w:val="a0"/>
    <w:rsid w:val="000E620E"/>
  </w:style>
  <w:style w:type="character" w:customStyle="1" w:styleId="doctextviewtypehighlight">
    <w:name w:val="doc__text_viewtype_highlight"/>
    <w:basedOn w:val="a0"/>
    <w:rsid w:val="000E620E"/>
  </w:style>
  <w:style w:type="paragraph" w:styleId="a3">
    <w:name w:val="Normal (Web)"/>
    <w:basedOn w:val="a"/>
    <w:uiPriority w:val="99"/>
    <w:semiHidden/>
    <w:unhideWhenUsed/>
    <w:rsid w:val="000E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E62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62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62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620E"/>
    <w:rPr>
      <w:rFonts w:ascii="Arial" w:eastAsia="Times New Roman" w:hAnsi="Arial" w:cs="Arial"/>
      <w:vanish/>
      <w:sz w:val="16"/>
      <w:szCs w:val="16"/>
      <w:lang w:eastAsia="ru-RU"/>
    </w:rPr>
  </w:style>
  <w:style w:type="paragraph" w:customStyle="1" w:styleId="copyright-info">
    <w:name w:val="copyright-info"/>
    <w:basedOn w:val="a"/>
    <w:rsid w:val="000E6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6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8195">
      <w:bodyDiv w:val="1"/>
      <w:marLeft w:val="0"/>
      <w:marRight w:val="0"/>
      <w:marTop w:val="0"/>
      <w:marBottom w:val="0"/>
      <w:divBdr>
        <w:top w:val="none" w:sz="0" w:space="0" w:color="auto"/>
        <w:left w:val="none" w:sz="0" w:space="0" w:color="auto"/>
        <w:bottom w:val="none" w:sz="0" w:space="0" w:color="auto"/>
        <w:right w:val="none" w:sz="0" w:space="0" w:color="auto"/>
      </w:divBdr>
      <w:divsChild>
        <w:div w:id="962156725">
          <w:marLeft w:val="0"/>
          <w:marRight w:val="0"/>
          <w:marTop w:val="0"/>
          <w:marBottom w:val="195"/>
          <w:divBdr>
            <w:top w:val="none" w:sz="0" w:space="0" w:color="auto"/>
            <w:left w:val="none" w:sz="0" w:space="0" w:color="auto"/>
            <w:bottom w:val="single" w:sz="6" w:space="29" w:color="E6E6E6"/>
            <w:right w:val="none" w:sz="0" w:space="0" w:color="auto"/>
          </w:divBdr>
        </w:div>
        <w:div w:id="94448705">
          <w:marLeft w:val="0"/>
          <w:marRight w:val="0"/>
          <w:marTop w:val="0"/>
          <w:marBottom w:val="0"/>
          <w:divBdr>
            <w:top w:val="none" w:sz="0" w:space="0" w:color="auto"/>
            <w:left w:val="none" w:sz="0" w:space="0" w:color="auto"/>
            <w:bottom w:val="none" w:sz="0" w:space="0" w:color="auto"/>
            <w:right w:val="none" w:sz="0" w:space="0" w:color="auto"/>
          </w:divBdr>
          <w:divsChild>
            <w:div w:id="1901595498">
              <w:marLeft w:val="-600"/>
              <w:marRight w:val="0"/>
              <w:marTop w:val="300"/>
              <w:marBottom w:val="300"/>
              <w:divBdr>
                <w:top w:val="none" w:sz="0" w:space="0" w:color="auto"/>
                <w:left w:val="none" w:sz="0" w:space="0" w:color="auto"/>
                <w:bottom w:val="none" w:sz="0" w:space="0" w:color="auto"/>
                <w:right w:val="none" w:sz="0" w:space="0" w:color="auto"/>
              </w:divBdr>
              <w:divsChild>
                <w:div w:id="496461177">
                  <w:marLeft w:val="0"/>
                  <w:marRight w:val="0"/>
                  <w:marTop w:val="0"/>
                  <w:marBottom w:val="0"/>
                  <w:divBdr>
                    <w:top w:val="none" w:sz="0" w:space="0" w:color="auto"/>
                    <w:left w:val="none" w:sz="0" w:space="0" w:color="auto"/>
                    <w:bottom w:val="none" w:sz="0" w:space="0" w:color="auto"/>
                    <w:right w:val="none" w:sz="0" w:space="0" w:color="auto"/>
                  </w:divBdr>
                  <w:divsChild>
                    <w:div w:id="14366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227">
              <w:marLeft w:val="-600"/>
              <w:marRight w:val="0"/>
              <w:marTop w:val="300"/>
              <w:marBottom w:val="300"/>
              <w:divBdr>
                <w:top w:val="none" w:sz="0" w:space="0" w:color="auto"/>
                <w:left w:val="none" w:sz="0" w:space="0" w:color="auto"/>
                <w:bottom w:val="none" w:sz="0" w:space="0" w:color="auto"/>
                <w:right w:val="none" w:sz="0" w:space="0" w:color="auto"/>
              </w:divBdr>
              <w:divsChild>
                <w:div w:id="2098939172">
                  <w:marLeft w:val="0"/>
                  <w:marRight w:val="0"/>
                  <w:marTop w:val="0"/>
                  <w:marBottom w:val="0"/>
                  <w:divBdr>
                    <w:top w:val="none" w:sz="0" w:space="0" w:color="auto"/>
                    <w:left w:val="none" w:sz="0" w:space="0" w:color="auto"/>
                    <w:bottom w:val="none" w:sz="0" w:space="0" w:color="auto"/>
                    <w:right w:val="none" w:sz="0" w:space="0" w:color="auto"/>
                  </w:divBdr>
                  <w:divsChild>
                    <w:div w:id="1115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5221">
              <w:marLeft w:val="-600"/>
              <w:marRight w:val="0"/>
              <w:marTop w:val="300"/>
              <w:marBottom w:val="300"/>
              <w:divBdr>
                <w:top w:val="none" w:sz="0" w:space="0" w:color="auto"/>
                <w:left w:val="none" w:sz="0" w:space="0" w:color="auto"/>
                <w:bottom w:val="none" w:sz="0" w:space="0" w:color="auto"/>
                <w:right w:val="none" w:sz="0" w:space="0" w:color="auto"/>
              </w:divBdr>
              <w:divsChild>
                <w:div w:id="81727097">
                  <w:marLeft w:val="0"/>
                  <w:marRight w:val="0"/>
                  <w:marTop w:val="0"/>
                  <w:marBottom w:val="0"/>
                  <w:divBdr>
                    <w:top w:val="none" w:sz="0" w:space="0" w:color="auto"/>
                    <w:left w:val="none" w:sz="0" w:space="0" w:color="auto"/>
                    <w:bottom w:val="none" w:sz="0" w:space="0" w:color="auto"/>
                    <w:right w:val="none" w:sz="0" w:space="0" w:color="auto"/>
                  </w:divBdr>
                  <w:divsChild>
                    <w:div w:id="1493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4428">
              <w:marLeft w:val="-600"/>
              <w:marRight w:val="0"/>
              <w:marTop w:val="300"/>
              <w:marBottom w:val="300"/>
              <w:divBdr>
                <w:top w:val="none" w:sz="0" w:space="0" w:color="auto"/>
                <w:left w:val="none" w:sz="0" w:space="0" w:color="auto"/>
                <w:bottom w:val="none" w:sz="0" w:space="0" w:color="auto"/>
                <w:right w:val="none" w:sz="0" w:space="0" w:color="auto"/>
              </w:divBdr>
              <w:divsChild>
                <w:div w:id="617563309">
                  <w:marLeft w:val="0"/>
                  <w:marRight w:val="0"/>
                  <w:marTop w:val="0"/>
                  <w:marBottom w:val="0"/>
                  <w:divBdr>
                    <w:top w:val="none" w:sz="0" w:space="0" w:color="auto"/>
                    <w:left w:val="none" w:sz="0" w:space="0" w:color="auto"/>
                    <w:bottom w:val="none" w:sz="0" w:space="0" w:color="auto"/>
                    <w:right w:val="none" w:sz="0" w:space="0" w:color="auto"/>
                  </w:divBdr>
                  <w:divsChild>
                    <w:div w:id="4145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8317</Words>
  <Characters>47412</Characters>
  <Application>Microsoft Office Word</Application>
  <DocSecurity>0</DocSecurity>
  <Lines>395</Lines>
  <Paragraphs>111</Paragraphs>
  <ScaleCrop>false</ScaleCrop>
  <Company/>
  <LinksUpToDate>false</LinksUpToDate>
  <CharactersWithSpaces>55618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2018-06-27T11:52:00Z</dcterms:created>
  <dcterms:modified xsi:type="dcterms:W3CDTF">2018-06-27T11:52:00Z</dcterms:modified>
</cp:coreProperties>
</file>